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2C38BE" w:rsidRPr="002C38BE" w:rsidTr="0029478A">
        <w:tc>
          <w:tcPr>
            <w:tcW w:w="5104" w:type="dxa"/>
          </w:tcPr>
          <w:p w:rsidR="002C38BE" w:rsidRPr="0023582E" w:rsidRDefault="002C38BE" w:rsidP="002C3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23582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BỘ Y TẾ</w:t>
            </w:r>
          </w:p>
          <w:p w:rsidR="002C38BE" w:rsidRPr="0023582E" w:rsidRDefault="002C38BE" w:rsidP="002C3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23582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TRƯỜNG ĐẠI HỌC Y TẾ CÔNG CỘNG</w:t>
            </w:r>
          </w:p>
          <w:p w:rsidR="002C38BE" w:rsidRPr="002C38BE" w:rsidRDefault="002C38BE" w:rsidP="002C3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8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0;text-align:left;margin-left:54.75pt;margin-top:2.35pt;width:142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8I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"/>
              </w:pict>
            </w:r>
          </w:p>
        </w:tc>
        <w:tc>
          <w:tcPr>
            <w:tcW w:w="5670" w:type="dxa"/>
          </w:tcPr>
          <w:p w:rsidR="002C38BE" w:rsidRPr="0023582E" w:rsidRDefault="002C38BE" w:rsidP="002C3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23582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CỘNG HÒA XÃ HỘI CHỦ NGHĨA VIỆT NAM</w:t>
            </w:r>
          </w:p>
          <w:p w:rsidR="002C38BE" w:rsidRPr="0023582E" w:rsidRDefault="002C38BE" w:rsidP="002C3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proofErr w:type="spellStart"/>
            <w:r w:rsidRPr="0023582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Độc</w:t>
            </w:r>
            <w:proofErr w:type="spellEnd"/>
            <w:r w:rsidRPr="0023582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 xml:space="preserve"> </w:t>
            </w:r>
            <w:proofErr w:type="spellStart"/>
            <w:r w:rsidRPr="0023582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lập</w:t>
            </w:r>
            <w:proofErr w:type="spellEnd"/>
            <w:r w:rsidRPr="0023582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 xml:space="preserve"> – Tự do – Hạnh phúc</w:t>
            </w:r>
          </w:p>
          <w:p w:rsidR="002C38BE" w:rsidRPr="002C38BE" w:rsidRDefault="002C38BE" w:rsidP="002C3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38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pict>
                <v:shape id="Straight Arrow Connector 3" o:spid="_x0000_s1029" type="#_x0000_t32" style="position:absolute;left:0;text-align:left;margin-left:49.4pt;margin-top:1.75pt;width:17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"/>
              </w:pict>
            </w:r>
          </w:p>
          <w:p w:rsidR="002C38BE" w:rsidRPr="002C38BE" w:rsidRDefault="002C38BE" w:rsidP="002C3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CA77E1" w:rsidRPr="0023582E" w:rsidRDefault="00F10D9F" w:rsidP="00F10D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82E">
        <w:rPr>
          <w:rFonts w:ascii="Times New Roman" w:hAnsi="Times New Roman" w:cs="Times New Roman"/>
          <w:b/>
          <w:sz w:val="28"/>
          <w:szCs w:val="24"/>
        </w:rPr>
        <w:t>CHUẨN ĐẦU RA CỬ NHÂN XÉT NGHIỆM KỸ THUẬT Y HỌC</w:t>
      </w:r>
    </w:p>
    <w:p w:rsidR="002C38BE" w:rsidRPr="002C38BE" w:rsidRDefault="002C38BE" w:rsidP="002C38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BE">
        <w:rPr>
          <w:rFonts w:ascii="Times New Roman" w:hAnsi="Times New Roman" w:cs="Times New Roman"/>
          <w:i/>
          <w:sz w:val="24"/>
          <w:szCs w:val="24"/>
        </w:rPr>
        <w:t xml:space="preserve">(Ban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489</w:t>
      </w:r>
      <w:r w:rsidRPr="002C38BE">
        <w:rPr>
          <w:rFonts w:ascii="Times New Roman" w:hAnsi="Times New Roman" w:cs="Times New Roman"/>
          <w:i/>
          <w:sz w:val="24"/>
          <w:szCs w:val="24"/>
        </w:rPr>
        <w:t xml:space="preserve">/QĐ-ĐHYTCC </w:t>
      </w:r>
    </w:p>
    <w:p w:rsidR="002C38BE" w:rsidRPr="002C38BE" w:rsidRDefault="002C38BE" w:rsidP="002C38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Hiệu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trưởng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trường Đại học Y tế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cộng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n</w:t>
      </w:r>
      <w:bookmarkStart w:id="0" w:name="_GoBack"/>
      <w:bookmarkEnd w:id="0"/>
      <w:r w:rsidRPr="002C38BE">
        <w:rPr>
          <w:rFonts w:ascii="Times New Roman" w:hAnsi="Times New Roman" w:cs="Times New Roman"/>
          <w:i/>
          <w:sz w:val="24"/>
          <w:szCs w:val="24"/>
        </w:rPr>
        <w:t>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21</w:t>
      </w:r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C3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38BE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2C38BE">
        <w:rPr>
          <w:rFonts w:ascii="Times New Roman" w:hAnsi="Times New Roman" w:cs="Times New Roman"/>
          <w:i/>
          <w:sz w:val="24"/>
          <w:szCs w:val="24"/>
        </w:rPr>
        <w:t xml:space="preserve"> 2017)</w:t>
      </w:r>
    </w:p>
    <w:p w:rsidR="00F10D9F" w:rsidRPr="0023582E" w:rsidRDefault="00F10D9F" w:rsidP="00F1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23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THÁI ĐỘ:</w:t>
      </w:r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 Có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phẩm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chất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đạo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đức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nghề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nghiệp</w:t>
      </w:r>
      <w:r w:rsidR="00B70291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tận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tụy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với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sự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nghiệp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chăm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sóc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vệ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nâng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cao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sức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khoẻ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nhân dân,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hết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lòng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phục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vụ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người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bệnh</w:t>
      </w:r>
      <w:proofErr w:type="spellEnd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/</w:t>
      </w:r>
      <w:proofErr w:type="spellStart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khách</w:t>
      </w:r>
      <w:proofErr w:type="spellEnd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hàng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Tuân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thủ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nguyên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tắc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về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đạo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đức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trong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B70291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y học</w:t>
      </w:r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gồm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: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cẩn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thận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tỉ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mỉ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kiên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trì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trung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thực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khách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quan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mật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thông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tin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bệnh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nhân,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khách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hàng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cộng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đồng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</w:p>
    <w:p w:rsidR="00F10D9F" w:rsidRPr="0023582E" w:rsidRDefault="00F10D9F" w:rsidP="00F10D9F">
      <w:pPr>
        <w:rPr>
          <w:rFonts w:ascii="Times New Roman" w:hAnsi="Times New Roman" w:cs="Times New Roman"/>
          <w:b/>
          <w:sz w:val="28"/>
          <w:szCs w:val="28"/>
        </w:rPr>
      </w:pPr>
      <w:r w:rsidRPr="0023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>KIẾN THỨC:</w:t>
      </w:r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Hiểu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biết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về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nguyên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lý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cơ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của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chủ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nghĩa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Mác-Lênin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đường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lối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mạng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của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Đảng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Cộng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sản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Việt Nam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tư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tưởng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Hồ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Chí Minh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để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vận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dụng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việc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thực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chủ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trương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chính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sách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của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Đảng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Nhà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nước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trong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công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chăm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sóc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vệ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sức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khỏe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nhân dân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nói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chung</w:t>
      </w:r>
      <w:proofErr w:type="spellEnd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lĩnh</w:t>
      </w:r>
      <w:proofErr w:type="spellEnd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0739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vực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liên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quan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đến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ngành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y học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nói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riêng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Hiểu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biết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về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pháp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luật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chính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sách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về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công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đảm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an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toàn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sinh học,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đảm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chất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lượng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quản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lý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chất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lượng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phòng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yêu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cầu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của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việc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cung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cấp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dịch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vụ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phục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vụ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chăm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sóc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nâng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cao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sức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khỏe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nhân dân</w:t>
      </w:r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Hiểu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biết</w:t>
      </w:r>
      <w:proofErr w:type="spellEnd"/>
      <w:r w:rsidR="00A7555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A7555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về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kiến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thức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khoa học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cơ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y học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cơ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sở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phục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vụ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công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tác</w:t>
      </w:r>
      <w:proofErr w:type="spellEnd"/>
      <w:r w:rsidR="0031466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y học </w:t>
      </w:r>
    </w:p>
    <w:p w:rsidR="00F10D9F" w:rsidRPr="0023582E" w:rsidRDefault="00F10D9F" w:rsidP="00F813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23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  <w:t xml:space="preserve">KỸ NĂNG: </w:t>
      </w:r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Sử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dụng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quản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lý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A7555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hiệu</w:t>
      </w:r>
      <w:proofErr w:type="spellEnd"/>
      <w:r w:rsidR="00A7555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A7555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quả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trang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thiết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bị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hóa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chất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sinh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phẩm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trong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phòng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y học.</w:t>
      </w:r>
    </w:p>
    <w:p w:rsidR="00F10D9F" w:rsidRPr="0023582E" w:rsidRDefault="00E84B2D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lastRenderedPageBreak/>
        <w:t>Ứng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dụng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kiến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thức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cơ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cơ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sở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trong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xây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dựng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</w:t>
      </w:r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hực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hiện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thành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thạo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kỹ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thuật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Huyết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học truyền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máu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Hóa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sinh, Vi sinh,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Ký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sinh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trùng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Miễn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dịch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Tế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bào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Giải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phẫu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bệnh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thông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thường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. </w:t>
      </w:r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Áp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dụng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kỹ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năng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chuyên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sâu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(sinh học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phân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tử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miễn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dịch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...)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thực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quy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trình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y học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phục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vụ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khám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điều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trị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chăm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sóc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sức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khỏe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cho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người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bệnh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/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khách</w:t>
      </w:r>
      <w:proofErr w:type="spellEnd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802273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hàng</w:t>
      </w:r>
      <w:proofErr w:type="spellEnd"/>
    </w:p>
    <w:p w:rsidR="009876A0" w:rsidRPr="0023582E" w:rsidRDefault="009876A0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Đọc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phân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tích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chính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kết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quả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Hóa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sinh, Vi sinh- 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Kí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sinh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trùng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Huyết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học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tế </w:t>
      </w:r>
      <w:proofErr w:type="spellStart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bào</w:t>
      </w:r>
      <w:proofErr w:type="spellEnd"/>
      <w:r w:rsidR="00BF7FC7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</w:p>
    <w:p w:rsidR="00F10D9F" w:rsidRPr="0023582E" w:rsidRDefault="00634414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</w:t>
      </w:r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uản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lý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hoạt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động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của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một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phòng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y sinh học,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điều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phối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hoạt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động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của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nhóm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sử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dụng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nguồn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lực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hợp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lý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hiệu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quả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đảm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bảo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chất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lượng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F10D9F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</w:p>
    <w:p w:rsidR="00F10D9F" w:rsidRPr="0023582E" w:rsidRDefault="00F10D9F" w:rsidP="00F10D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</w:pP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Thực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hiệu</w:t>
      </w:r>
      <w:proofErr w:type="spellEnd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quả</w:t>
      </w:r>
      <w:proofErr w:type="spellEnd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các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công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tác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kiểm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soát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nhiễm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khuẩn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, an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toàn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sinh học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trong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phòng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9876A0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,</w:t>
      </w:r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kiểm</w:t>
      </w:r>
      <w:proofErr w:type="spellEnd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tra</w:t>
      </w:r>
      <w:proofErr w:type="spellEnd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chất</w:t>
      </w:r>
      <w:proofErr w:type="spellEnd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lượng</w:t>
      </w:r>
      <w:proofErr w:type="spellEnd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="00DD1E4A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đảm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bảo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chất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lượng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xét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nghiệm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;</w:t>
      </w:r>
    </w:p>
    <w:p w:rsidR="00F10D9F" w:rsidRPr="0023582E" w:rsidRDefault="00F10D9F" w:rsidP="008B141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Tham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gia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chỉ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đạo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tuyến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và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phòng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chống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dịch</w:t>
      </w:r>
      <w:proofErr w:type="spellEnd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hiệu</w:t>
      </w:r>
      <w:proofErr w:type="spellEnd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 xml:space="preserve"> </w:t>
      </w:r>
      <w:proofErr w:type="spellStart"/>
      <w:r w:rsidR="00634414"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quả</w:t>
      </w:r>
      <w:proofErr w:type="spellEnd"/>
      <w:r w:rsidRPr="0023582E">
        <w:rPr>
          <w:rFonts w:ascii="Times New Roman" w:eastAsia="Times New Roman" w:hAnsi="Times New Roman" w:cs="Times New Roman"/>
          <w:color w:val="000000"/>
          <w:sz w:val="28"/>
          <w:szCs w:val="28"/>
          <w:lang w:eastAsia="en-AU"/>
        </w:rPr>
        <w:t>.</w:t>
      </w:r>
    </w:p>
    <w:sectPr w:rsidR="00F10D9F" w:rsidRPr="0023582E" w:rsidSect="002358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CF4"/>
    <w:multiLevelType w:val="hybridMultilevel"/>
    <w:tmpl w:val="48BA68B8"/>
    <w:lvl w:ilvl="0" w:tplc="5E901384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0D9F"/>
    <w:rsid w:val="00124AE9"/>
    <w:rsid w:val="00166047"/>
    <w:rsid w:val="0023582E"/>
    <w:rsid w:val="00284BF0"/>
    <w:rsid w:val="002C08C5"/>
    <w:rsid w:val="002C38BE"/>
    <w:rsid w:val="003055E1"/>
    <w:rsid w:val="00314664"/>
    <w:rsid w:val="005A76C1"/>
    <w:rsid w:val="00634414"/>
    <w:rsid w:val="007C6398"/>
    <w:rsid w:val="007D3565"/>
    <w:rsid w:val="00802273"/>
    <w:rsid w:val="00873DA1"/>
    <w:rsid w:val="009876A0"/>
    <w:rsid w:val="009C4FB9"/>
    <w:rsid w:val="00A7555F"/>
    <w:rsid w:val="00B70291"/>
    <w:rsid w:val="00BF7FC7"/>
    <w:rsid w:val="00CA77E1"/>
    <w:rsid w:val="00DD1E4A"/>
    <w:rsid w:val="00E24B65"/>
    <w:rsid w:val="00E84B2D"/>
    <w:rsid w:val="00F0739A"/>
    <w:rsid w:val="00F10D9F"/>
    <w:rsid w:val="00F3451E"/>
    <w:rsid w:val="00F8136F"/>
    <w:rsid w:val="00FA5891"/>
    <w:rsid w:val="00FB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3"/>
        <o:r id="V:Rule2" type="connector" idref="#Straight Arrow Connector 4"/>
      </o:rules>
    </o:shapelayout>
  </w:shapeDefaults>
  <w:decimalSymbol w:val="."/>
  <w:listSeparator w:val=","/>
  <w14:docId w14:val="3981CE91"/>
  <w15:docId w15:val="{B07FBCC7-40CB-4B71-ADD0-F92B4164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77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anh</dc:creator>
  <cp:lastModifiedBy>Phung Van Thuy</cp:lastModifiedBy>
  <cp:revision>6</cp:revision>
  <dcterms:created xsi:type="dcterms:W3CDTF">2017-03-24T02:33:00Z</dcterms:created>
  <dcterms:modified xsi:type="dcterms:W3CDTF">2017-04-23T08:36:00Z</dcterms:modified>
</cp:coreProperties>
</file>